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0271" w:type="dxa"/>
        <w:tblInd w:w="50" w:type="dxa"/>
        <w:tblCellMar>
          <w:left w:w="70" w:type="dxa"/>
          <w:right w:w="70" w:type="dxa"/>
        </w:tblCellMar>
        <w:tblLook w:val="04A0" w:firstRow="1" w:lastRow="0" w:firstColumn="1" w:lastColumn="0" w:noHBand="0" w:noVBand="1"/>
      </w:tblPr>
      <w:tblGrid>
        <w:gridCol w:w="7979"/>
        <w:gridCol w:w="12292"/>
      </w:tblGrid>
      <w:tr w:rsidR="00A90E4D" w:rsidRPr="00BF17F8" w14:paraId="5DD4FD92" w14:textId="77777777" w:rsidTr="00A90E4D">
        <w:trPr>
          <w:trHeight w:val="570"/>
        </w:trPr>
        <w:tc>
          <w:tcPr>
            <w:tcW w:w="7979" w:type="dxa"/>
            <w:tcBorders>
              <w:top w:val="single" w:sz="4" w:space="0" w:color="auto"/>
              <w:left w:val="single" w:sz="8" w:space="0" w:color="auto"/>
              <w:bottom w:val="nil"/>
              <w:right w:val="single" w:sz="8" w:space="0" w:color="auto"/>
            </w:tcBorders>
            <w:shd w:val="clear" w:color="auto" w:fill="auto"/>
            <w:vAlign w:val="center"/>
          </w:tcPr>
          <w:p w14:paraId="581E2915" w14:textId="77777777" w:rsidR="00A90E4D" w:rsidRPr="00BF17F8" w:rsidRDefault="00A90E4D" w:rsidP="005172D0">
            <w:pPr>
              <w:spacing w:after="0" w:line="240" w:lineRule="auto"/>
              <w:rPr>
                <w:rFonts w:ascii="Arial" w:eastAsia="Times New Roman" w:hAnsi="Arial" w:cs="Arial"/>
                <w:b/>
                <w:bCs/>
                <w:color w:val="000000"/>
                <w:lang w:eastAsia="it-IT"/>
              </w:rPr>
            </w:pPr>
            <w:r w:rsidRPr="00BF17F8">
              <w:rPr>
                <w:rFonts w:ascii="Arial" w:eastAsia="Times New Roman" w:hAnsi="Arial" w:cs="Arial"/>
                <w:b/>
                <w:bCs/>
                <w:color w:val="000000"/>
                <w:lang w:eastAsia="it-IT"/>
              </w:rPr>
              <w:t>Denominazione procedimento</w:t>
            </w:r>
          </w:p>
        </w:tc>
        <w:tc>
          <w:tcPr>
            <w:tcW w:w="12292" w:type="dxa"/>
            <w:tcBorders>
              <w:top w:val="single" w:sz="4" w:space="0" w:color="auto"/>
              <w:left w:val="nil"/>
              <w:bottom w:val="nil"/>
              <w:right w:val="single" w:sz="8" w:space="0" w:color="auto"/>
            </w:tcBorders>
            <w:shd w:val="clear" w:color="auto" w:fill="auto"/>
            <w:vAlign w:val="center"/>
          </w:tcPr>
          <w:p w14:paraId="181AF927" w14:textId="6CEEE280" w:rsidR="00A90E4D" w:rsidRPr="00BF17F8" w:rsidRDefault="00A90E4D" w:rsidP="00A90E4D">
            <w:pPr>
              <w:spacing w:after="0" w:line="240" w:lineRule="auto"/>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 xml:space="preserve">Procedimento per accesso civico generalizzato  </w:t>
            </w:r>
          </w:p>
        </w:tc>
      </w:tr>
      <w:tr w:rsidR="00A90E4D" w:rsidRPr="00BF17F8" w14:paraId="64CC0298" w14:textId="77777777" w:rsidTr="00A90E4D">
        <w:trPr>
          <w:trHeight w:val="585"/>
        </w:trPr>
        <w:tc>
          <w:tcPr>
            <w:tcW w:w="7979" w:type="dxa"/>
            <w:tcBorders>
              <w:top w:val="single" w:sz="8" w:space="0" w:color="auto"/>
              <w:left w:val="single" w:sz="8" w:space="0" w:color="auto"/>
              <w:bottom w:val="nil"/>
              <w:right w:val="single" w:sz="8" w:space="0" w:color="auto"/>
            </w:tcBorders>
            <w:shd w:val="clear" w:color="auto" w:fill="auto"/>
            <w:vAlign w:val="center"/>
            <w:hideMark/>
          </w:tcPr>
          <w:p w14:paraId="4E5FE9E8" w14:textId="66F58030" w:rsidR="00A90E4D" w:rsidRPr="00534113" w:rsidRDefault="00A90E4D" w:rsidP="005172D0">
            <w:pPr>
              <w:spacing w:after="0" w:line="240" w:lineRule="auto"/>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Accesso Civico Generalizzato : descrizione del procedimento</w:t>
            </w:r>
          </w:p>
        </w:tc>
        <w:tc>
          <w:tcPr>
            <w:tcW w:w="12292" w:type="dxa"/>
            <w:tcBorders>
              <w:top w:val="single" w:sz="8" w:space="0" w:color="auto"/>
              <w:left w:val="nil"/>
              <w:bottom w:val="nil"/>
              <w:right w:val="single" w:sz="8" w:space="0" w:color="auto"/>
            </w:tcBorders>
            <w:shd w:val="clear" w:color="auto" w:fill="auto"/>
            <w:vAlign w:val="center"/>
            <w:hideMark/>
          </w:tcPr>
          <w:p w14:paraId="127A6A39" w14:textId="77777777" w:rsidR="00A90E4D" w:rsidRPr="00A90E4D" w:rsidRDefault="00A90E4D" w:rsidP="00A90E4D">
            <w:pPr>
              <w:shd w:val="clear" w:color="auto" w:fill="F5F5F0"/>
              <w:spacing w:after="120" w:line="240" w:lineRule="auto"/>
              <w:jc w:val="both"/>
              <w:rPr>
                <w:rFonts w:ascii="Arial" w:eastAsia="Times New Roman" w:hAnsi="Arial" w:cs="Arial"/>
                <w:color w:val="212529"/>
                <w:sz w:val="20"/>
                <w:szCs w:val="20"/>
                <w:lang w:eastAsia="it-IT"/>
              </w:rPr>
            </w:pPr>
            <w:r w:rsidRPr="00A90E4D">
              <w:rPr>
                <w:rFonts w:ascii="Arial" w:eastAsia="Times New Roman" w:hAnsi="Arial" w:cs="Arial"/>
                <w:color w:val="212529"/>
                <w:sz w:val="20"/>
                <w:szCs w:val="20"/>
                <w:lang w:eastAsia="it-IT"/>
              </w:rPr>
              <w:t xml:space="preserve">Il diritto all'accesso civico generalizzato riguarda la possibilità di accedere a dati, documenti e informazioni detenuti dalle pubbliche amministrazioni ulteriori rispetto a quelli oggetto di pubblicazione obbligatoria previsti dal d. </w:t>
            </w:r>
            <w:proofErr w:type="spellStart"/>
            <w:r w:rsidRPr="00A90E4D">
              <w:rPr>
                <w:rFonts w:ascii="Arial" w:eastAsia="Times New Roman" w:hAnsi="Arial" w:cs="Arial"/>
                <w:color w:val="212529"/>
                <w:sz w:val="20"/>
                <w:szCs w:val="20"/>
                <w:lang w:eastAsia="it-IT"/>
              </w:rPr>
              <w:t>lgs</w:t>
            </w:r>
            <w:proofErr w:type="spellEnd"/>
            <w:r w:rsidRPr="00A90E4D">
              <w:rPr>
                <w:rFonts w:ascii="Arial" w:eastAsia="Times New Roman" w:hAnsi="Arial" w:cs="Arial"/>
                <w:color w:val="212529"/>
                <w:sz w:val="20"/>
                <w:szCs w:val="20"/>
                <w:lang w:eastAsia="it-IT"/>
              </w:rPr>
              <w:t>. n. 33/2013.</w:t>
            </w:r>
          </w:p>
          <w:p w14:paraId="7D49B64A" w14:textId="77777777" w:rsidR="00A90E4D" w:rsidRPr="00A90E4D" w:rsidRDefault="00A90E4D" w:rsidP="00A90E4D">
            <w:pPr>
              <w:shd w:val="clear" w:color="auto" w:fill="F5F5F0"/>
              <w:spacing w:after="120" w:line="240" w:lineRule="auto"/>
              <w:jc w:val="both"/>
              <w:rPr>
                <w:rFonts w:ascii="Arial" w:eastAsia="Times New Roman" w:hAnsi="Arial" w:cs="Arial"/>
                <w:color w:val="212529"/>
                <w:sz w:val="20"/>
                <w:szCs w:val="20"/>
                <w:lang w:eastAsia="it-IT"/>
              </w:rPr>
            </w:pPr>
            <w:r w:rsidRPr="00A90E4D">
              <w:rPr>
                <w:rFonts w:ascii="Arial" w:eastAsia="Times New Roman" w:hAnsi="Arial" w:cs="Arial"/>
                <w:color w:val="212529"/>
                <w:sz w:val="20"/>
                <w:szCs w:val="20"/>
                <w:lang w:eastAsia="it-IT"/>
              </w:rPr>
              <w:t>La legittimazione a esercitare il diritto è riconosciuta a chiunque, a prescindere da un particolare requisito di qualificazione.</w:t>
            </w:r>
          </w:p>
          <w:p w14:paraId="0FE32DD2" w14:textId="77777777" w:rsidR="00A90E4D" w:rsidRPr="00A90E4D" w:rsidRDefault="00A90E4D" w:rsidP="00A90E4D">
            <w:pPr>
              <w:shd w:val="clear" w:color="auto" w:fill="F5F5F0"/>
              <w:spacing w:after="120" w:line="240" w:lineRule="auto"/>
              <w:jc w:val="both"/>
              <w:rPr>
                <w:rFonts w:ascii="Arial" w:eastAsia="Times New Roman" w:hAnsi="Arial" w:cs="Arial"/>
                <w:color w:val="212529"/>
                <w:sz w:val="20"/>
                <w:szCs w:val="20"/>
                <w:lang w:eastAsia="it-IT"/>
              </w:rPr>
            </w:pPr>
            <w:r w:rsidRPr="00A90E4D">
              <w:rPr>
                <w:rFonts w:ascii="Arial" w:eastAsia="Times New Roman" w:hAnsi="Arial" w:cs="Arial"/>
                <w:color w:val="212529"/>
                <w:sz w:val="20"/>
                <w:szCs w:val="20"/>
                <w:lang w:eastAsia="it-IT"/>
              </w:rPr>
              <w:t>La richiesta deve consentire all’amministrazione di individuare il dato, il documento o l'informazione; sono pertanto ritenute inammissibili richieste generiche. Nel caso di richiesta relativa a un numero manifestamente irragionevole di documenti, tale da imporre un carico di lavoro in grado di compromettere il buon funzionamento dell’amministrazione, la stessa può ponderare, da un lato, l’interesse all’accesso ai documenti, dall’altro, l’interesse al buon andamento dell’attività amministrativa (</w:t>
            </w:r>
            <w:hyperlink r:id="rId7" w:history="1">
              <w:r w:rsidRPr="00A90E4D">
                <w:rPr>
                  <w:rFonts w:ascii="Arial" w:eastAsia="Times New Roman" w:hAnsi="Arial" w:cs="Arial"/>
                  <w:color w:val="333333"/>
                  <w:sz w:val="20"/>
                  <w:szCs w:val="20"/>
                  <w:u w:val="single"/>
                  <w:lang w:eastAsia="it-IT"/>
                </w:rPr>
                <w:t>Linee guida Agenzia nazionale anticorruzione-</w:t>
              </w:r>
              <w:proofErr w:type="spellStart"/>
              <w:r w:rsidRPr="00A90E4D">
                <w:rPr>
                  <w:rFonts w:ascii="Arial" w:eastAsia="Times New Roman" w:hAnsi="Arial" w:cs="Arial"/>
                  <w:color w:val="333333"/>
                  <w:sz w:val="20"/>
                  <w:szCs w:val="20"/>
                  <w:u w:val="single"/>
                  <w:lang w:eastAsia="it-IT"/>
                </w:rPr>
                <w:t>Anac</w:t>
              </w:r>
              <w:proofErr w:type="spellEnd"/>
              <w:r w:rsidRPr="00A90E4D">
                <w:rPr>
                  <w:rFonts w:ascii="Arial" w:eastAsia="Times New Roman" w:hAnsi="Arial" w:cs="Arial"/>
                  <w:color w:val="333333"/>
                  <w:sz w:val="20"/>
                  <w:szCs w:val="20"/>
                  <w:u w:val="single"/>
                  <w:lang w:eastAsia="it-IT"/>
                </w:rPr>
                <w:t xml:space="preserve"> su accesso civico generalizzato, paragrafo 4.2</w:t>
              </w:r>
            </w:hyperlink>
            <w:r w:rsidRPr="00A90E4D">
              <w:rPr>
                <w:rFonts w:ascii="Arial" w:eastAsia="Times New Roman" w:hAnsi="Arial" w:cs="Arial"/>
                <w:color w:val="212529"/>
                <w:sz w:val="20"/>
                <w:szCs w:val="20"/>
                <w:lang w:eastAsia="it-IT"/>
              </w:rPr>
              <w:t>).</w:t>
            </w:r>
          </w:p>
          <w:p w14:paraId="19618B5C" w14:textId="77777777" w:rsidR="00A90E4D" w:rsidRPr="00A90E4D" w:rsidRDefault="00A90E4D" w:rsidP="00A90E4D">
            <w:pPr>
              <w:shd w:val="clear" w:color="auto" w:fill="F5F5F0"/>
              <w:spacing w:after="120" w:line="240" w:lineRule="auto"/>
              <w:jc w:val="both"/>
              <w:rPr>
                <w:rFonts w:ascii="Arial" w:eastAsia="Times New Roman" w:hAnsi="Arial" w:cs="Arial"/>
                <w:color w:val="212529"/>
                <w:sz w:val="20"/>
                <w:szCs w:val="20"/>
                <w:lang w:eastAsia="it-IT"/>
              </w:rPr>
            </w:pPr>
            <w:r w:rsidRPr="00A90E4D">
              <w:rPr>
                <w:rFonts w:ascii="Arial" w:eastAsia="Times New Roman" w:hAnsi="Arial" w:cs="Arial"/>
                <w:color w:val="212529"/>
                <w:sz w:val="20"/>
                <w:szCs w:val="20"/>
                <w:lang w:eastAsia="it-IT"/>
              </w:rPr>
              <w:t xml:space="preserve">L’esercizio di tale diritto deve svolgersi nel rispetto delle eccezioni e dei limiti relativi alla tutela di interessi pubblici e privati giuridicamente rilevanti (articolo 5 bis del d. </w:t>
            </w:r>
            <w:proofErr w:type="spellStart"/>
            <w:r w:rsidRPr="00A90E4D">
              <w:rPr>
                <w:rFonts w:ascii="Arial" w:eastAsia="Times New Roman" w:hAnsi="Arial" w:cs="Arial"/>
                <w:color w:val="212529"/>
                <w:sz w:val="20"/>
                <w:szCs w:val="20"/>
                <w:lang w:eastAsia="it-IT"/>
              </w:rPr>
              <w:t>lgs</w:t>
            </w:r>
            <w:proofErr w:type="spellEnd"/>
            <w:r w:rsidRPr="00A90E4D">
              <w:rPr>
                <w:rFonts w:ascii="Arial" w:eastAsia="Times New Roman" w:hAnsi="Arial" w:cs="Arial"/>
                <w:color w:val="212529"/>
                <w:sz w:val="20"/>
                <w:szCs w:val="20"/>
                <w:lang w:eastAsia="it-IT"/>
              </w:rPr>
              <w:t>. n. 33/2013).</w:t>
            </w:r>
          </w:p>
          <w:p w14:paraId="4E2C197E" w14:textId="77777777" w:rsidR="00A90E4D" w:rsidRPr="00A90E4D" w:rsidRDefault="00A90E4D" w:rsidP="00A90E4D">
            <w:pPr>
              <w:shd w:val="clear" w:color="auto" w:fill="F5F5F0"/>
              <w:spacing w:after="120" w:line="240" w:lineRule="auto"/>
              <w:jc w:val="both"/>
              <w:rPr>
                <w:rFonts w:ascii="Arial" w:eastAsia="Times New Roman" w:hAnsi="Arial" w:cs="Arial"/>
                <w:color w:val="212529"/>
                <w:sz w:val="20"/>
                <w:szCs w:val="20"/>
                <w:lang w:eastAsia="it-IT"/>
              </w:rPr>
            </w:pPr>
            <w:r w:rsidRPr="00A90E4D">
              <w:rPr>
                <w:rFonts w:ascii="Arial" w:eastAsia="Times New Roman" w:hAnsi="Arial" w:cs="Arial"/>
                <w:color w:val="212529"/>
                <w:sz w:val="20"/>
                <w:szCs w:val="20"/>
                <w:lang w:eastAsia="it-IT"/>
              </w:rPr>
              <w:t>Il rilascio dei dati da parte dell’amministrazione è gratuito, salvo l’eventuale costo per la riproduzione degli stessi su supporti materiali.</w:t>
            </w:r>
          </w:p>
          <w:p w14:paraId="3DD9BA47" w14:textId="4863B000" w:rsidR="00A90E4D" w:rsidRPr="00A90E4D" w:rsidRDefault="00A90E4D" w:rsidP="00A90E4D">
            <w:pPr>
              <w:spacing w:after="0" w:line="240" w:lineRule="auto"/>
              <w:jc w:val="both"/>
              <w:rPr>
                <w:rFonts w:ascii="Arial" w:eastAsia="Times New Roman" w:hAnsi="Arial" w:cs="Arial"/>
                <w:color w:val="000000"/>
                <w:sz w:val="20"/>
                <w:szCs w:val="20"/>
                <w:lang w:eastAsia="it-IT"/>
              </w:rPr>
            </w:pPr>
          </w:p>
        </w:tc>
      </w:tr>
      <w:tr w:rsidR="00A90E4D" w:rsidRPr="00BF17F8" w14:paraId="7924E93F" w14:textId="77777777" w:rsidTr="00A90E4D">
        <w:trPr>
          <w:trHeight w:val="585"/>
        </w:trPr>
        <w:tc>
          <w:tcPr>
            <w:tcW w:w="7979" w:type="dxa"/>
            <w:tcBorders>
              <w:top w:val="single" w:sz="8" w:space="0" w:color="auto"/>
              <w:left w:val="single" w:sz="8" w:space="0" w:color="auto"/>
              <w:bottom w:val="nil"/>
              <w:right w:val="single" w:sz="8" w:space="0" w:color="auto"/>
            </w:tcBorders>
            <w:shd w:val="clear" w:color="auto" w:fill="auto"/>
            <w:vAlign w:val="center"/>
          </w:tcPr>
          <w:p w14:paraId="01997419" w14:textId="1F213F65" w:rsidR="00A90E4D" w:rsidRPr="00A90E4D" w:rsidRDefault="00A90E4D" w:rsidP="005172D0">
            <w:pPr>
              <w:spacing w:after="0" w:line="240" w:lineRule="auto"/>
              <w:rPr>
                <w:rFonts w:ascii="Arial" w:eastAsia="Times New Roman" w:hAnsi="Arial" w:cs="Arial"/>
                <w:color w:val="000000"/>
                <w:sz w:val="20"/>
                <w:szCs w:val="20"/>
                <w:lang w:eastAsia="it-IT"/>
              </w:rPr>
            </w:pPr>
            <w:r w:rsidRPr="00A90E4D">
              <w:rPr>
                <w:rFonts w:ascii="Arial" w:eastAsia="Times New Roman" w:hAnsi="Arial" w:cs="Arial"/>
                <w:color w:val="000000"/>
                <w:sz w:val="20"/>
                <w:szCs w:val="20"/>
                <w:lang w:eastAsia="it-IT"/>
              </w:rPr>
              <w:t>Accesso Civico Generalizzato : come si esercita</w:t>
            </w:r>
          </w:p>
        </w:tc>
        <w:tc>
          <w:tcPr>
            <w:tcW w:w="12292" w:type="dxa"/>
            <w:tcBorders>
              <w:top w:val="single" w:sz="8" w:space="0" w:color="auto"/>
              <w:left w:val="nil"/>
              <w:bottom w:val="nil"/>
              <w:right w:val="single" w:sz="8" w:space="0" w:color="auto"/>
            </w:tcBorders>
            <w:shd w:val="clear" w:color="auto" w:fill="auto"/>
            <w:vAlign w:val="center"/>
          </w:tcPr>
          <w:p w14:paraId="56E7D976" w14:textId="3D836F34" w:rsidR="00A90E4D" w:rsidRDefault="00A90E4D" w:rsidP="00A90E4D">
            <w:pPr>
              <w:spacing w:after="0" w:line="240" w:lineRule="auto"/>
              <w:jc w:val="both"/>
              <w:rPr>
                <w:rFonts w:ascii="Arial" w:hAnsi="Arial" w:cs="Arial"/>
                <w:b/>
                <w:bCs/>
                <w:color w:val="212529"/>
                <w:sz w:val="20"/>
                <w:szCs w:val="20"/>
                <w:shd w:val="clear" w:color="auto" w:fill="F5F5F0"/>
              </w:rPr>
            </w:pPr>
            <w:r w:rsidRPr="00A90E4D">
              <w:rPr>
                <w:rFonts w:ascii="Arial" w:hAnsi="Arial" w:cs="Arial"/>
                <w:color w:val="212529"/>
                <w:sz w:val="20"/>
                <w:szCs w:val="20"/>
                <w:shd w:val="clear" w:color="auto" w:fill="F5F5F0"/>
              </w:rPr>
              <w:t>​Il diritto di accesso civico generalizzato si esercita co</w:t>
            </w:r>
            <w:r>
              <w:rPr>
                <w:rFonts w:ascii="Arial" w:hAnsi="Arial" w:cs="Arial"/>
                <w:color w:val="212529"/>
                <w:sz w:val="20"/>
                <w:szCs w:val="20"/>
                <w:shd w:val="clear" w:color="auto" w:fill="F5F5F0"/>
              </w:rPr>
              <w:t xml:space="preserve">mpilando il modulo </w:t>
            </w:r>
            <w:proofErr w:type="gramStart"/>
            <w:r>
              <w:rPr>
                <w:rFonts w:ascii="Arial" w:hAnsi="Arial" w:cs="Arial"/>
                <w:color w:val="212529"/>
                <w:sz w:val="20"/>
                <w:szCs w:val="20"/>
                <w:shd w:val="clear" w:color="auto" w:fill="F5F5F0"/>
              </w:rPr>
              <w:t xml:space="preserve">predisposto </w:t>
            </w:r>
            <w:r w:rsidRPr="00A90E4D">
              <w:rPr>
                <w:rFonts w:ascii="Arial" w:hAnsi="Arial" w:cs="Arial"/>
                <w:color w:val="212529"/>
                <w:sz w:val="20"/>
                <w:szCs w:val="20"/>
                <w:shd w:val="clear" w:color="auto" w:fill="F5F5F0"/>
              </w:rPr>
              <w:t>,</w:t>
            </w:r>
            <w:proofErr w:type="gramEnd"/>
            <w:r w:rsidR="00895407">
              <w:rPr>
                <w:rFonts w:ascii="Arial" w:hAnsi="Arial" w:cs="Arial"/>
                <w:color w:val="212529"/>
                <w:sz w:val="20"/>
                <w:szCs w:val="20"/>
                <w:shd w:val="clear" w:color="auto" w:fill="F5F5F0"/>
              </w:rPr>
              <w:t xml:space="preserve"> di seguito allegato,</w:t>
            </w:r>
            <w:r w:rsidRPr="00A90E4D">
              <w:rPr>
                <w:rFonts w:ascii="Arial" w:hAnsi="Arial" w:cs="Arial"/>
                <w:color w:val="212529"/>
                <w:sz w:val="20"/>
                <w:szCs w:val="20"/>
                <w:shd w:val="clear" w:color="auto" w:fill="F5F5F0"/>
              </w:rPr>
              <w:t xml:space="preserve"> senza indicare motivazioni. Il modulo, sottoscritto dal richiedente e accompagnato da copia di un documento di identità, va inviato al dipartimento, all'ufficio centrale o all’ufficio periferico competente per via telematica (sia e-mail ordinaria che posta elettronica certificata-</w:t>
            </w:r>
            <w:proofErr w:type="spellStart"/>
            <w:r w:rsidRPr="00A90E4D">
              <w:rPr>
                <w:rFonts w:ascii="Arial" w:hAnsi="Arial" w:cs="Arial"/>
                <w:color w:val="212529"/>
                <w:sz w:val="20"/>
                <w:szCs w:val="20"/>
                <w:shd w:val="clear" w:color="auto" w:fill="F5F5F0"/>
              </w:rPr>
              <w:t>Pec</w:t>
            </w:r>
            <w:proofErr w:type="spellEnd"/>
            <w:r w:rsidRPr="00A90E4D">
              <w:rPr>
                <w:rFonts w:ascii="Arial" w:hAnsi="Arial" w:cs="Arial"/>
                <w:color w:val="212529"/>
                <w:sz w:val="20"/>
                <w:szCs w:val="20"/>
                <w:shd w:val="clear" w:color="auto" w:fill="F5F5F0"/>
              </w:rPr>
              <w:t>), per posta ordinaria o consegnato a mano, ai seguenti </w:t>
            </w:r>
            <w:r w:rsidRPr="00437321">
              <w:rPr>
                <w:rFonts w:ascii="Arial" w:hAnsi="Arial" w:cs="Arial"/>
                <w:bCs/>
                <w:color w:val="212529"/>
                <w:sz w:val="20"/>
                <w:szCs w:val="20"/>
                <w:shd w:val="clear" w:color="auto" w:fill="F5F5F0"/>
              </w:rPr>
              <w:t>contatti:</w:t>
            </w:r>
          </w:p>
          <w:p w14:paraId="382662EB" w14:textId="77777777" w:rsidR="00A90E4D" w:rsidRDefault="00A90E4D" w:rsidP="00A90E4D">
            <w:pPr>
              <w:spacing w:after="0" w:line="240" w:lineRule="auto"/>
              <w:jc w:val="both"/>
              <w:rPr>
                <w:rFonts w:ascii="Arial" w:hAnsi="Arial" w:cs="Arial"/>
                <w:b/>
                <w:bCs/>
                <w:color w:val="212529"/>
                <w:sz w:val="20"/>
                <w:szCs w:val="20"/>
                <w:shd w:val="clear" w:color="auto" w:fill="F5F5F0"/>
              </w:rPr>
            </w:pPr>
          </w:p>
          <w:p w14:paraId="5C9B883D" w14:textId="3A12B4AA" w:rsidR="00A90E4D" w:rsidRPr="004943D1" w:rsidRDefault="008765E6" w:rsidP="00A90E4D">
            <w:pPr>
              <w:spacing w:after="0" w:line="240" w:lineRule="auto"/>
              <w:jc w:val="both"/>
              <w:rPr>
                <w:rFonts w:ascii="Arial" w:eastAsia="Times New Roman" w:hAnsi="Arial" w:cs="Arial"/>
                <w:color w:val="000000"/>
                <w:sz w:val="20"/>
                <w:szCs w:val="20"/>
                <w:lang w:eastAsia="it-IT"/>
              </w:rPr>
            </w:pPr>
            <w:proofErr w:type="gramStart"/>
            <w:r>
              <w:rPr>
                <w:rFonts w:ascii="Arial" w:eastAsia="Times New Roman" w:hAnsi="Arial" w:cs="Arial"/>
                <w:color w:val="000000"/>
                <w:sz w:val="20"/>
                <w:szCs w:val="20"/>
                <w:lang w:eastAsia="it-IT"/>
              </w:rPr>
              <w:t>Ufficio :</w:t>
            </w:r>
            <w:proofErr w:type="gramEnd"/>
            <w:r>
              <w:rPr>
                <w:rFonts w:ascii="Arial" w:eastAsia="Times New Roman" w:hAnsi="Arial" w:cs="Arial"/>
                <w:color w:val="000000"/>
                <w:sz w:val="20"/>
                <w:szCs w:val="20"/>
                <w:lang w:eastAsia="it-IT"/>
              </w:rPr>
              <w:t xml:space="preserve"> S.C. Affari Generali</w:t>
            </w:r>
            <w:r w:rsidR="00895407">
              <w:rPr>
                <w:rFonts w:ascii="Arial" w:eastAsia="Times New Roman" w:hAnsi="Arial" w:cs="Arial"/>
                <w:color w:val="000000"/>
                <w:sz w:val="20"/>
                <w:szCs w:val="20"/>
                <w:lang w:eastAsia="it-IT"/>
              </w:rPr>
              <w:t xml:space="preserve"> - </w:t>
            </w:r>
            <w:r>
              <w:rPr>
                <w:rFonts w:ascii="Calibri" w:eastAsia="Times New Roman" w:hAnsi="Calibri" w:cs="Times New Roman"/>
                <w:color w:val="000000"/>
                <w:lang w:eastAsia="it-IT"/>
              </w:rPr>
              <w:t>Via Piscinas</w:t>
            </w:r>
            <w:r w:rsidR="00895407">
              <w:rPr>
                <w:rFonts w:ascii="Calibri" w:eastAsia="Times New Roman" w:hAnsi="Calibri" w:cs="Times New Roman"/>
                <w:color w:val="000000"/>
                <w:lang w:eastAsia="it-IT"/>
              </w:rPr>
              <w:t xml:space="preserve"> n. 5, 08040 Lanusei</w:t>
            </w:r>
          </w:p>
          <w:p w14:paraId="55C683D2" w14:textId="385F027D" w:rsidR="00A90E4D" w:rsidRPr="00437321" w:rsidRDefault="00437321" w:rsidP="00A90E4D">
            <w:pPr>
              <w:spacing w:after="0" w:line="240" w:lineRule="auto"/>
              <w:jc w:val="both"/>
              <w:rPr>
                <w:rFonts w:ascii="Arial" w:eastAsia="Times New Roman" w:hAnsi="Arial" w:cs="Arial"/>
                <w:color w:val="000000"/>
                <w:sz w:val="20"/>
                <w:szCs w:val="20"/>
                <w:lang w:eastAsia="it-IT"/>
              </w:rPr>
            </w:pPr>
            <w:proofErr w:type="gramStart"/>
            <w:r>
              <w:rPr>
                <w:rFonts w:ascii="Calibri" w:eastAsia="Times New Roman" w:hAnsi="Calibri" w:cs="Times New Roman"/>
                <w:color w:val="000000"/>
                <w:lang w:eastAsia="it-IT"/>
              </w:rPr>
              <w:t xml:space="preserve">mail: </w:t>
            </w:r>
            <w:r>
              <w:rPr>
                <w:rFonts w:ascii="Tahoma" w:hAnsi="Tahoma" w:cs="Tahoma"/>
                <w:color w:val="000000"/>
                <w:sz w:val="27"/>
                <w:szCs w:val="27"/>
                <w:shd w:val="clear" w:color="auto" w:fill="FFFFFF"/>
              </w:rPr>
              <w:t> </w:t>
            </w:r>
            <w:r w:rsidRPr="00437321">
              <w:rPr>
                <w:rFonts w:ascii="Arial" w:hAnsi="Arial" w:cs="Arial"/>
                <w:color w:val="000000"/>
                <w:sz w:val="20"/>
                <w:szCs w:val="20"/>
                <w:shd w:val="clear" w:color="auto" w:fill="FFFFFF"/>
              </w:rPr>
              <w:t>protocollo@aslogliastra.it</w:t>
            </w:r>
            <w:proofErr w:type="gramEnd"/>
          </w:p>
          <w:p w14:paraId="7707967B" w14:textId="61300142" w:rsidR="00A90E4D" w:rsidRPr="00A90E4D" w:rsidRDefault="00A90E4D" w:rsidP="00437321">
            <w:pPr>
              <w:spacing w:after="0" w:line="240" w:lineRule="auto"/>
              <w:jc w:val="both"/>
              <w:rPr>
                <w:rFonts w:ascii="Arial" w:eastAsia="Times New Roman" w:hAnsi="Arial" w:cs="Arial"/>
                <w:color w:val="000000"/>
                <w:sz w:val="20"/>
                <w:szCs w:val="20"/>
                <w:lang w:eastAsia="it-IT"/>
              </w:rPr>
            </w:pPr>
            <w:r>
              <w:rPr>
                <w:rFonts w:ascii="Calibri" w:eastAsia="Times New Roman" w:hAnsi="Calibri" w:cs="Times New Roman"/>
                <w:color w:val="000000"/>
                <w:lang w:eastAsia="it-IT"/>
              </w:rPr>
              <w:t xml:space="preserve">PEC: </w:t>
            </w:r>
            <w:r w:rsidR="00437321" w:rsidRPr="00437321">
              <w:rPr>
                <w:rFonts w:ascii="Arial" w:hAnsi="Arial" w:cs="Arial"/>
                <w:color w:val="000000"/>
                <w:sz w:val="20"/>
                <w:szCs w:val="20"/>
                <w:shd w:val="clear" w:color="auto" w:fill="FFFFFF"/>
              </w:rPr>
              <w:t>protocollo@pec.aslogliastra.it</w:t>
            </w:r>
          </w:p>
        </w:tc>
      </w:tr>
      <w:tr w:rsidR="00A90E4D" w:rsidRPr="00BF17F8" w14:paraId="6F2799D2" w14:textId="77777777" w:rsidTr="00A90E4D">
        <w:trPr>
          <w:trHeight w:val="585"/>
        </w:trPr>
        <w:tc>
          <w:tcPr>
            <w:tcW w:w="7979" w:type="dxa"/>
            <w:tcBorders>
              <w:top w:val="single" w:sz="8" w:space="0" w:color="auto"/>
              <w:left w:val="single" w:sz="8" w:space="0" w:color="auto"/>
              <w:bottom w:val="nil"/>
              <w:right w:val="single" w:sz="8" w:space="0" w:color="auto"/>
            </w:tcBorders>
            <w:shd w:val="clear" w:color="auto" w:fill="auto"/>
            <w:vAlign w:val="center"/>
          </w:tcPr>
          <w:p w14:paraId="7B4B0A1E" w14:textId="7CE88E59" w:rsidR="00A90E4D" w:rsidRPr="00895407" w:rsidRDefault="00A90E4D" w:rsidP="00895407">
            <w:pPr>
              <w:spacing w:after="0" w:line="240" w:lineRule="auto"/>
              <w:jc w:val="both"/>
              <w:rPr>
                <w:rFonts w:ascii="Arial" w:eastAsia="Times New Roman" w:hAnsi="Arial" w:cs="Arial"/>
                <w:color w:val="000000"/>
                <w:sz w:val="20"/>
                <w:szCs w:val="20"/>
                <w:lang w:eastAsia="it-IT"/>
              </w:rPr>
            </w:pPr>
            <w:r w:rsidRPr="00895407">
              <w:rPr>
                <w:rFonts w:ascii="Arial" w:eastAsia="Times New Roman" w:hAnsi="Arial" w:cs="Arial"/>
                <w:color w:val="000000"/>
                <w:sz w:val="20"/>
                <w:szCs w:val="20"/>
                <w:lang w:eastAsia="it-IT"/>
              </w:rPr>
              <w:t>Accesso Civico Generalizzato : richiesta di riesame</w:t>
            </w:r>
            <w:bookmarkStart w:id="0" w:name="_GoBack"/>
            <w:bookmarkEnd w:id="0"/>
          </w:p>
        </w:tc>
        <w:tc>
          <w:tcPr>
            <w:tcW w:w="12292" w:type="dxa"/>
            <w:tcBorders>
              <w:top w:val="single" w:sz="8" w:space="0" w:color="auto"/>
              <w:left w:val="nil"/>
              <w:bottom w:val="nil"/>
              <w:right w:val="single" w:sz="8" w:space="0" w:color="auto"/>
            </w:tcBorders>
            <w:shd w:val="clear" w:color="auto" w:fill="auto"/>
            <w:vAlign w:val="center"/>
          </w:tcPr>
          <w:p w14:paraId="6A503613" w14:textId="7B94FFE8" w:rsidR="00166052" w:rsidRDefault="00A90E4D" w:rsidP="00166052">
            <w:pPr>
              <w:shd w:val="clear" w:color="auto" w:fill="F5F5F0"/>
              <w:spacing w:after="120" w:line="240" w:lineRule="auto"/>
              <w:jc w:val="both"/>
              <w:rPr>
                <w:rFonts w:ascii="Arial" w:eastAsia="Times New Roman" w:hAnsi="Arial" w:cs="Arial"/>
                <w:bCs/>
                <w:color w:val="212529"/>
                <w:sz w:val="20"/>
                <w:szCs w:val="20"/>
                <w:lang w:eastAsia="it-IT"/>
              </w:rPr>
            </w:pPr>
            <w:r w:rsidRPr="00166052">
              <w:rPr>
                <w:rFonts w:ascii="Arial" w:eastAsia="Times New Roman" w:hAnsi="Arial" w:cs="Arial"/>
                <w:bCs/>
                <w:color w:val="212529"/>
                <w:sz w:val="20"/>
                <w:szCs w:val="20"/>
                <w:lang w:eastAsia="it-IT"/>
              </w:rPr>
              <w:t>Nei casi di diniego totale o parziale dell’accesso o di mancata risposta entro il termine previsto da parte dell’uffi</w:t>
            </w:r>
            <w:r w:rsidR="00895407" w:rsidRPr="00166052">
              <w:rPr>
                <w:rFonts w:ascii="Arial" w:eastAsia="Times New Roman" w:hAnsi="Arial" w:cs="Arial"/>
                <w:bCs/>
                <w:color w:val="212529"/>
                <w:sz w:val="20"/>
                <w:szCs w:val="20"/>
                <w:lang w:eastAsia="it-IT"/>
              </w:rPr>
              <w:t>cio detentore dei dati,</w:t>
            </w:r>
            <w:r w:rsidRPr="00166052">
              <w:rPr>
                <w:rFonts w:ascii="Arial" w:eastAsia="Times New Roman" w:hAnsi="Arial" w:cs="Arial"/>
                <w:bCs/>
                <w:color w:val="212529"/>
                <w:sz w:val="20"/>
                <w:szCs w:val="20"/>
                <w:lang w:eastAsia="it-IT"/>
              </w:rPr>
              <w:t xml:space="preserve"> il richiedente può presentare richiesta di riesame al Responsabile della prevenzione della corruzione e della trasparenza, ai sensi dell’art. 5, comma 7, d.lgs. n. 33/2013, inviando la</w:t>
            </w:r>
            <w:r w:rsidR="00166052" w:rsidRPr="00166052">
              <w:rPr>
                <w:rFonts w:ascii="Arial" w:eastAsia="Times New Roman" w:hAnsi="Arial" w:cs="Arial"/>
                <w:bCs/>
                <w:color w:val="212529"/>
                <w:sz w:val="20"/>
                <w:szCs w:val="20"/>
                <w:lang w:eastAsia="it-IT"/>
              </w:rPr>
              <w:t xml:space="preserve"> richiesta ai seguenti </w:t>
            </w:r>
            <w:proofErr w:type="gramStart"/>
            <w:r w:rsidR="00166052" w:rsidRPr="00166052">
              <w:rPr>
                <w:rFonts w:ascii="Arial" w:eastAsia="Times New Roman" w:hAnsi="Arial" w:cs="Arial"/>
                <w:bCs/>
                <w:color w:val="212529"/>
                <w:sz w:val="20"/>
                <w:szCs w:val="20"/>
                <w:lang w:eastAsia="it-IT"/>
              </w:rPr>
              <w:t>recapiti</w:t>
            </w:r>
            <w:r w:rsidR="004943D1">
              <w:rPr>
                <w:rFonts w:ascii="Arial" w:eastAsia="Times New Roman" w:hAnsi="Arial" w:cs="Arial"/>
                <w:bCs/>
                <w:color w:val="212529"/>
                <w:sz w:val="20"/>
                <w:szCs w:val="20"/>
                <w:lang w:eastAsia="it-IT"/>
              </w:rPr>
              <w:t xml:space="preserve"> :</w:t>
            </w:r>
            <w:proofErr w:type="gramEnd"/>
          </w:p>
          <w:p w14:paraId="11EC5764" w14:textId="1A885AAA" w:rsidR="004943D1" w:rsidRPr="004943D1" w:rsidRDefault="004943D1" w:rsidP="004943D1">
            <w:pPr>
              <w:spacing w:after="0" w:line="240" w:lineRule="auto"/>
              <w:jc w:val="both"/>
              <w:rPr>
                <w:rFonts w:ascii="Arial" w:eastAsia="Times New Roman" w:hAnsi="Arial" w:cs="Arial"/>
                <w:color w:val="000000"/>
                <w:sz w:val="20"/>
                <w:szCs w:val="20"/>
                <w:lang w:eastAsia="it-IT"/>
              </w:rPr>
            </w:pPr>
            <w:proofErr w:type="gramStart"/>
            <w:r>
              <w:rPr>
                <w:rFonts w:ascii="Arial" w:eastAsia="Times New Roman" w:hAnsi="Arial" w:cs="Arial"/>
                <w:color w:val="000000"/>
                <w:sz w:val="20"/>
                <w:szCs w:val="20"/>
                <w:lang w:eastAsia="it-IT"/>
              </w:rPr>
              <w:t>Ufficio :</w:t>
            </w:r>
            <w:proofErr w:type="gramEnd"/>
            <w:r>
              <w:rPr>
                <w:rFonts w:ascii="Arial" w:eastAsia="Times New Roman" w:hAnsi="Arial" w:cs="Arial"/>
                <w:color w:val="000000"/>
                <w:sz w:val="20"/>
                <w:szCs w:val="20"/>
                <w:lang w:eastAsia="it-IT"/>
              </w:rPr>
              <w:t xml:space="preserve"> S.C. Affari Generali - </w:t>
            </w:r>
            <w:r w:rsidR="00F16047">
              <w:rPr>
                <w:rFonts w:ascii="Arial" w:eastAsia="Times New Roman" w:hAnsi="Arial" w:cs="Arial"/>
                <w:color w:val="000000"/>
                <w:sz w:val="20"/>
                <w:szCs w:val="20"/>
                <w:lang w:eastAsia="it-IT"/>
              </w:rPr>
              <w:t xml:space="preserve"> Responsabile Prevenzione Corruzione e Trasparenza - </w:t>
            </w:r>
            <w:r>
              <w:rPr>
                <w:rFonts w:ascii="Calibri" w:eastAsia="Times New Roman" w:hAnsi="Calibri" w:cs="Times New Roman"/>
                <w:color w:val="000000"/>
                <w:lang w:eastAsia="it-IT"/>
              </w:rPr>
              <w:t>Via Piscinas n. 5, 08040 Lanusei</w:t>
            </w:r>
          </w:p>
          <w:p w14:paraId="32E1597E" w14:textId="130FB8A9" w:rsidR="004943D1" w:rsidRPr="00437321" w:rsidRDefault="004943D1" w:rsidP="004943D1">
            <w:pPr>
              <w:spacing w:after="0" w:line="240" w:lineRule="auto"/>
              <w:jc w:val="both"/>
              <w:rPr>
                <w:rFonts w:ascii="Arial" w:eastAsia="Times New Roman" w:hAnsi="Arial" w:cs="Arial"/>
                <w:color w:val="000000"/>
                <w:sz w:val="20"/>
                <w:szCs w:val="20"/>
                <w:lang w:eastAsia="it-IT"/>
              </w:rPr>
            </w:pPr>
            <w:proofErr w:type="gramStart"/>
            <w:r>
              <w:rPr>
                <w:rFonts w:ascii="Calibri" w:eastAsia="Times New Roman" w:hAnsi="Calibri" w:cs="Times New Roman"/>
                <w:color w:val="000000"/>
                <w:lang w:eastAsia="it-IT"/>
              </w:rPr>
              <w:t xml:space="preserve">mail: </w:t>
            </w:r>
            <w:r>
              <w:rPr>
                <w:rFonts w:ascii="Tahoma" w:hAnsi="Tahoma" w:cs="Tahoma"/>
                <w:color w:val="000000"/>
                <w:sz w:val="27"/>
                <w:szCs w:val="27"/>
                <w:shd w:val="clear" w:color="auto" w:fill="FFFFFF"/>
              </w:rPr>
              <w:t> </w:t>
            </w:r>
            <w:r w:rsidR="00F16047">
              <w:rPr>
                <w:rFonts w:ascii="Arial" w:hAnsi="Arial" w:cs="Arial"/>
                <w:color w:val="000000"/>
                <w:sz w:val="20"/>
                <w:szCs w:val="20"/>
                <w:shd w:val="clear" w:color="auto" w:fill="FFFFFF"/>
              </w:rPr>
              <w:t>rpct</w:t>
            </w:r>
            <w:r w:rsidRPr="00437321">
              <w:rPr>
                <w:rFonts w:ascii="Arial" w:hAnsi="Arial" w:cs="Arial"/>
                <w:color w:val="000000"/>
                <w:sz w:val="20"/>
                <w:szCs w:val="20"/>
                <w:shd w:val="clear" w:color="auto" w:fill="FFFFFF"/>
              </w:rPr>
              <w:t>@aslogliastra.it</w:t>
            </w:r>
            <w:proofErr w:type="gramEnd"/>
          </w:p>
          <w:p w14:paraId="1E2A519B" w14:textId="452A304D" w:rsidR="004943D1" w:rsidRPr="00166052" w:rsidRDefault="004943D1" w:rsidP="004943D1">
            <w:pPr>
              <w:shd w:val="clear" w:color="auto" w:fill="F5F5F0"/>
              <w:spacing w:after="120" w:line="240" w:lineRule="auto"/>
              <w:jc w:val="both"/>
              <w:rPr>
                <w:rFonts w:ascii="Arial" w:eastAsia="Times New Roman" w:hAnsi="Arial" w:cs="Arial"/>
                <w:bCs/>
                <w:color w:val="212529"/>
                <w:sz w:val="20"/>
                <w:szCs w:val="20"/>
                <w:lang w:eastAsia="it-IT"/>
              </w:rPr>
            </w:pPr>
          </w:p>
          <w:p w14:paraId="718835EE" w14:textId="77777777" w:rsidR="00A90E4D" w:rsidRPr="00A90E4D" w:rsidRDefault="00A90E4D" w:rsidP="00895407">
            <w:pPr>
              <w:shd w:val="clear" w:color="auto" w:fill="F5F5F0"/>
              <w:spacing w:after="120" w:line="240" w:lineRule="auto"/>
              <w:jc w:val="both"/>
              <w:rPr>
                <w:rFonts w:ascii="Arial" w:eastAsia="Times New Roman" w:hAnsi="Arial" w:cs="Arial"/>
                <w:color w:val="212529"/>
                <w:sz w:val="20"/>
                <w:szCs w:val="20"/>
                <w:lang w:eastAsia="it-IT"/>
              </w:rPr>
            </w:pPr>
            <w:r w:rsidRPr="00A90E4D">
              <w:rPr>
                <w:rFonts w:ascii="Arial" w:eastAsia="Times New Roman" w:hAnsi="Arial" w:cs="Arial"/>
                <w:color w:val="212529"/>
                <w:sz w:val="20"/>
                <w:szCs w:val="20"/>
                <w:lang w:eastAsia="it-IT"/>
              </w:rPr>
              <w:t xml:space="preserve">Alla richiesta di riesame, sottoscritta dal richiedente e accompagnata da copia di un documento di identità (non necessario in caso di firma digitale), dovrà allegarsi la richiesta presentata all’ufficio detentore dei dati in prima istanza, la risposta fornita dallo stesso ufficio ed eventuali relativi </w:t>
            </w:r>
            <w:proofErr w:type="spellStart"/>
            <w:r w:rsidRPr="00A90E4D">
              <w:rPr>
                <w:rFonts w:ascii="Arial" w:eastAsia="Times New Roman" w:hAnsi="Arial" w:cs="Arial"/>
                <w:color w:val="212529"/>
                <w:sz w:val="20"/>
                <w:szCs w:val="20"/>
                <w:lang w:eastAsia="it-IT"/>
              </w:rPr>
              <w:t>allegati.Il</w:t>
            </w:r>
            <w:proofErr w:type="spellEnd"/>
            <w:r w:rsidRPr="00A90E4D">
              <w:rPr>
                <w:rFonts w:ascii="Arial" w:eastAsia="Times New Roman" w:hAnsi="Arial" w:cs="Arial"/>
                <w:color w:val="212529"/>
                <w:sz w:val="20"/>
                <w:szCs w:val="20"/>
                <w:lang w:eastAsia="it-IT"/>
              </w:rPr>
              <w:t xml:space="preserve"> Responsabile della prevenzione della corruzione e della trasparenza decide con provvedimento motivato, entro il termine di 20 giorni, salvo il maggior termine previsto dall'articolo 5-bis, comma 2, lettera a), </w:t>
            </w:r>
            <w:proofErr w:type="spellStart"/>
            <w:r w:rsidRPr="00A90E4D">
              <w:rPr>
                <w:rFonts w:ascii="Arial" w:eastAsia="Times New Roman" w:hAnsi="Arial" w:cs="Arial"/>
                <w:color w:val="212529"/>
                <w:sz w:val="20"/>
                <w:szCs w:val="20"/>
                <w:lang w:eastAsia="it-IT"/>
              </w:rPr>
              <w:t>D.Lgs.</w:t>
            </w:r>
            <w:proofErr w:type="spellEnd"/>
            <w:r w:rsidRPr="00A90E4D">
              <w:rPr>
                <w:rFonts w:ascii="Arial" w:eastAsia="Times New Roman" w:hAnsi="Arial" w:cs="Arial"/>
                <w:color w:val="212529"/>
                <w:sz w:val="20"/>
                <w:szCs w:val="20"/>
                <w:lang w:eastAsia="it-IT"/>
              </w:rPr>
              <w:t xml:space="preserve"> 33/2013, nel caso di interpello del Garante per la protezione dei dati personali.</w:t>
            </w:r>
          </w:p>
          <w:p w14:paraId="7D98EF77" w14:textId="3361435C" w:rsidR="00A90E4D" w:rsidRPr="00895407" w:rsidRDefault="00A90E4D" w:rsidP="00895407">
            <w:pPr>
              <w:jc w:val="both"/>
              <w:rPr>
                <w:rFonts w:ascii="Arial" w:eastAsia="Times New Roman" w:hAnsi="Arial" w:cs="Arial"/>
                <w:color w:val="000000"/>
                <w:sz w:val="20"/>
                <w:szCs w:val="20"/>
                <w:lang w:eastAsia="it-IT"/>
              </w:rPr>
            </w:pPr>
          </w:p>
        </w:tc>
      </w:tr>
      <w:tr w:rsidR="00A90E4D" w:rsidRPr="00BF17F8" w14:paraId="529342DC" w14:textId="77777777" w:rsidTr="00A90E4D">
        <w:trPr>
          <w:trHeight w:val="585"/>
        </w:trPr>
        <w:tc>
          <w:tcPr>
            <w:tcW w:w="7979" w:type="dxa"/>
            <w:tcBorders>
              <w:top w:val="single" w:sz="8" w:space="0" w:color="auto"/>
              <w:left w:val="single" w:sz="8" w:space="0" w:color="auto"/>
              <w:bottom w:val="nil"/>
              <w:right w:val="single" w:sz="8" w:space="0" w:color="auto"/>
            </w:tcBorders>
            <w:shd w:val="clear" w:color="auto" w:fill="auto"/>
            <w:vAlign w:val="center"/>
          </w:tcPr>
          <w:p w14:paraId="3980166C" w14:textId="48119378" w:rsidR="00A90E4D" w:rsidRPr="00534113" w:rsidRDefault="00166052" w:rsidP="00FC4467">
            <w:pPr>
              <w:spacing w:after="0" w:line="240" w:lineRule="auto"/>
              <w:rPr>
                <w:rFonts w:ascii="Arial" w:eastAsia="Times New Roman" w:hAnsi="Arial" w:cs="Arial"/>
                <w:color w:val="000000"/>
                <w:sz w:val="20"/>
                <w:szCs w:val="20"/>
                <w:lang w:eastAsia="it-IT"/>
              </w:rPr>
            </w:pPr>
            <w:r w:rsidRPr="00895407">
              <w:rPr>
                <w:rFonts w:ascii="Arial" w:eastAsia="Times New Roman" w:hAnsi="Arial" w:cs="Arial"/>
                <w:color w:val="000000"/>
                <w:sz w:val="20"/>
                <w:szCs w:val="20"/>
                <w:lang w:eastAsia="it-IT"/>
              </w:rPr>
              <w:t>Accesso Civico Generalizzat</w:t>
            </w:r>
            <w:r>
              <w:rPr>
                <w:rFonts w:ascii="Arial" w:eastAsia="Times New Roman" w:hAnsi="Arial" w:cs="Arial"/>
                <w:color w:val="000000"/>
                <w:sz w:val="20"/>
                <w:szCs w:val="20"/>
                <w:lang w:eastAsia="it-IT"/>
              </w:rPr>
              <w:t>o : tutela</w:t>
            </w:r>
          </w:p>
        </w:tc>
        <w:tc>
          <w:tcPr>
            <w:tcW w:w="12292" w:type="dxa"/>
            <w:tcBorders>
              <w:top w:val="single" w:sz="8" w:space="0" w:color="auto"/>
              <w:left w:val="nil"/>
              <w:bottom w:val="nil"/>
              <w:right w:val="single" w:sz="8" w:space="0" w:color="auto"/>
            </w:tcBorders>
            <w:shd w:val="clear" w:color="auto" w:fill="auto"/>
            <w:vAlign w:val="center"/>
          </w:tcPr>
          <w:p w14:paraId="693B5273" w14:textId="77777777" w:rsidR="00166052" w:rsidRPr="00166052" w:rsidRDefault="00166052" w:rsidP="00166052">
            <w:pPr>
              <w:pStyle w:val="NormaleWeb"/>
              <w:shd w:val="clear" w:color="auto" w:fill="F5F5F0"/>
              <w:spacing w:before="0" w:beforeAutospacing="0" w:after="120" w:afterAutospacing="0"/>
              <w:jc w:val="both"/>
              <w:rPr>
                <w:rFonts w:ascii="Arial" w:hAnsi="Arial" w:cs="Arial"/>
                <w:color w:val="212529"/>
                <w:sz w:val="20"/>
                <w:szCs w:val="20"/>
              </w:rPr>
            </w:pPr>
            <w:r w:rsidRPr="00166052">
              <w:rPr>
                <w:rFonts w:ascii="Arial" w:hAnsi="Arial" w:cs="Arial"/>
                <w:color w:val="212529"/>
                <w:sz w:val="20"/>
                <w:szCs w:val="20"/>
              </w:rPr>
              <w:t>Nei casi di diniego totale o parziale dell’accesso o di mancata risposta entro il termine previsto da parte dell’Ufficio detentore dei dati, o avverso la decisione in sede di riesame del Responsabile della prevenzione della corruzione e della trasparenza, o in caso di sua mancata risposta entro il termine previsto, il richiedente può presentare ricorso al Tribunale amministrativo regionale ai sensi dell’art. 116 del Codice del processo amministrativo (</w:t>
            </w:r>
            <w:proofErr w:type="spellStart"/>
            <w:proofErr w:type="gramStart"/>
            <w:r w:rsidRPr="00166052">
              <w:rPr>
                <w:rFonts w:ascii="Arial" w:hAnsi="Arial" w:cs="Arial"/>
                <w:color w:val="212529"/>
                <w:sz w:val="20"/>
                <w:szCs w:val="20"/>
              </w:rPr>
              <w:t>D.Lgs</w:t>
            </w:r>
            <w:proofErr w:type="gramEnd"/>
            <w:r w:rsidRPr="00166052">
              <w:rPr>
                <w:rFonts w:ascii="Arial" w:hAnsi="Arial" w:cs="Arial"/>
                <w:color w:val="212529"/>
                <w:sz w:val="20"/>
                <w:szCs w:val="20"/>
              </w:rPr>
              <w:t>.</w:t>
            </w:r>
            <w:proofErr w:type="spellEnd"/>
            <w:r w:rsidRPr="00166052">
              <w:rPr>
                <w:rFonts w:ascii="Arial" w:hAnsi="Arial" w:cs="Arial"/>
                <w:color w:val="212529"/>
                <w:sz w:val="20"/>
                <w:szCs w:val="20"/>
              </w:rPr>
              <w:t xml:space="preserve"> 2 luglio 2010, n. 104).</w:t>
            </w:r>
          </w:p>
          <w:p w14:paraId="23D6EA09" w14:textId="77777777" w:rsidR="00166052" w:rsidRPr="00166052" w:rsidRDefault="00166052" w:rsidP="00166052">
            <w:pPr>
              <w:pStyle w:val="NormaleWeb"/>
              <w:shd w:val="clear" w:color="auto" w:fill="F5F5F0"/>
              <w:spacing w:before="0" w:beforeAutospacing="0" w:after="120" w:afterAutospacing="0"/>
              <w:jc w:val="both"/>
              <w:rPr>
                <w:rFonts w:ascii="Arial" w:hAnsi="Arial" w:cs="Arial"/>
                <w:color w:val="212529"/>
                <w:sz w:val="20"/>
                <w:szCs w:val="20"/>
              </w:rPr>
            </w:pPr>
            <w:r w:rsidRPr="00166052">
              <w:rPr>
                <w:rFonts w:ascii="Arial" w:hAnsi="Arial" w:cs="Arial"/>
                <w:color w:val="212529"/>
                <w:sz w:val="20"/>
                <w:szCs w:val="20"/>
              </w:rPr>
              <w:t>Resta ferma comunque la possibilità di ricorrere al Tribunale amministrativo regionale anche senza presentare richiesta di riesame.</w:t>
            </w:r>
          </w:p>
          <w:p w14:paraId="7B0A3B56" w14:textId="7BFFA462" w:rsidR="00A90E4D" w:rsidRPr="00BF17F8" w:rsidRDefault="00A90E4D" w:rsidP="00FC4467">
            <w:pPr>
              <w:spacing w:after="0" w:line="240" w:lineRule="auto"/>
              <w:rPr>
                <w:rFonts w:ascii="Calibri" w:eastAsia="Times New Roman" w:hAnsi="Calibri" w:cs="Times New Roman"/>
                <w:color w:val="000000"/>
                <w:lang w:eastAsia="it-IT"/>
              </w:rPr>
            </w:pPr>
          </w:p>
        </w:tc>
      </w:tr>
    </w:tbl>
    <w:p w14:paraId="48345BC4" w14:textId="10BC5482" w:rsidR="006B6188" w:rsidRDefault="006B6188"/>
    <w:p w14:paraId="2402A704" w14:textId="14CE093E" w:rsidR="00245380" w:rsidRDefault="00245380"/>
    <w:p w14:paraId="3F453942" w14:textId="47038517" w:rsidR="00245380" w:rsidRDefault="00245380"/>
    <w:p w14:paraId="6D158D02" w14:textId="6ECF74C5" w:rsidR="0050416E" w:rsidRDefault="0050416E"/>
    <w:p w14:paraId="27BF8AE6" w14:textId="7A407198" w:rsidR="0050416E" w:rsidRDefault="0050416E"/>
    <w:p w14:paraId="1552BE78" w14:textId="2261CAF3" w:rsidR="0050416E" w:rsidRDefault="0050416E"/>
    <w:p w14:paraId="1CB39F73" w14:textId="31F8CA15" w:rsidR="0050416E" w:rsidRDefault="0050416E"/>
    <w:p w14:paraId="306D5029" w14:textId="6CA90823" w:rsidR="0050416E" w:rsidRDefault="0050416E"/>
    <w:p w14:paraId="2BAA1F5A" w14:textId="77777777" w:rsidR="0050416E" w:rsidRDefault="0050416E"/>
    <w:sectPr w:rsidR="0050416E" w:rsidSect="003567B8">
      <w:headerReference w:type="default" r:id="rId8"/>
      <w:pgSz w:w="23811" w:h="16838" w:orient="landscape" w:code="8"/>
      <w:pgMar w:top="855" w:right="1417" w:bottom="1134"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B98FF" w14:textId="77777777" w:rsidR="00936FA6" w:rsidRDefault="00936FA6" w:rsidP="003567B8">
      <w:pPr>
        <w:spacing w:after="0" w:line="240" w:lineRule="auto"/>
      </w:pPr>
      <w:r>
        <w:separator/>
      </w:r>
    </w:p>
  </w:endnote>
  <w:endnote w:type="continuationSeparator" w:id="0">
    <w:p w14:paraId="71EDC59C" w14:textId="77777777" w:rsidR="00936FA6" w:rsidRDefault="00936FA6" w:rsidP="00356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AC8F2" w14:textId="77777777" w:rsidR="00936FA6" w:rsidRDefault="00936FA6" w:rsidP="003567B8">
      <w:pPr>
        <w:spacing w:after="0" w:line="240" w:lineRule="auto"/>
      </w:pPr>
      <w:r>
        <w:separator/>
      </w:r>
    </w:p>
  </w:footnote>
  <w:footnote w:type="continuationSeparator" w:id="0">
    <w:p w14:paraId="0B9A7C50" w14:textId="77777777" w:rsidR="00936FA6" w:rsidRDefault="00936FA6" w:rsidP="00356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616F3" w14:textId="77777777" w:rsidR="005172D0" w:rsidRDefault="005172D0">
    <w:pPr>
      <w:pStyle w:val="Intestazione"/>
    </w:pPr>
    <w:r>
      <w:rPr>
        <w:noProof/>
        <w:lang w:eastAsia="it-IT"/>
      </w:rPr>
      <mc:AlternateContent>
        <mc:Choice Requires="wps">
          <w:drawing>
            <wp:anchor distT="0" distB="0" distL="118745" distR="118745" simplePos="0" relativeHeight="251659264" behindDoc="1" locked="0" layoutInCell="1" allowOverlap="0" wp14:anchorId="272520AE" wp14:editId="56637393">
              <wp:simplePos x="0" y="0"/>
              <wp:positionH relativeFrom="margin">
                <wp:posOffset>2054612</wp:posOffset>
              </wp:positionH>
              <wp:positionV relativeFrom="page">
                <wp:posOffset>476803</wp:posOffset>
              </wp:positionV>
              <wp:extent cx="7609205" cy="317500"/>
              <wp:effectExtent l="0" t="0" r="0" b="6350"/>
              <wp:wrapSquare wrapText="bothSides"/>
              <wp:docPr id="197" name="Rettangolo 197"/>
              <wp:cNvGraphicFramePr/>
              <a:graphic xmlns:a="http://schemas.openxmlformats.org/drawingml/2006/main">
                <a:graphicData uri="http://schemas.microsoft.com/office/word/2010/wordprocessingShape">
                  <wps:wsp>
                    <wps:cNvSpPr/>
                    <wps:spPr>
                      <a:xfrm>
                        <a:off x="0" y="0"/>
                        <a:ext cx="7609205" cy="3175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AD9FEA" w14:textId="77777777" w:rsidR="005172D0" w:rsidRPr="00894C42" w:rsidRDefault="005172D0">
                          <w:pPr>
                            <w:pStyle w:val="Intestazione"/>
                            <w:jc w:val="center"/>
                            <w:rPr>
                              <w:caps/>
                            </w:rPr>
                          </w:pPr>
                          <w:r w:rsidRPr="00894C42">
                            <w:rPr>
                              <w:caps/>
                            </w:rPr>
                            <w:t>Elenco dei procedimenti de</w:t>
                          </w:r>
                          <w:r>
                            <w:rPr>
                              <w:caps/>
                            </w:rPr>
                            <w:t>lla S.C. IGIENE DEGLI ALIMENTI DI ORIGINE ANIMALE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72520AE" id="Rettangolo 197" o:spid="_x0000_s1026" style="position:absolute;margin-left:161.8pt;margin-top:37.55pt;width:599.15pt;height:2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KTLkwIAAJgFAAAOAAAAZHJzL2Uyb0RvYy54bWysVN9P2zAQfp+0/8Hy+0jSAR1VU1QVMU1C&#10;UAETz65jN5Ycn2e7Tbq/fmcnDQzQJk17SXy+7359vrv5ZddoshfOKzAlLU5ySoThUCmzLen3x+tP&#10;XyjxgZmKaTCipAfh6eXi44d5a2diAjXoSjiCToyftbakdQh2lmWe16Jh/gSsMKiU4BoWUHTbrHKs&#10;Re+NziZ5fp614CrrgAvv8faqV9JF8i+l4OFOSi8C0SXF3EL6uvTdxG+2mLPZ1jFbKz6kwf4hi4Yp&#10;g0FHV1csMLJz6o2rRnEHHmQ44dBkIKXiItWA1RT5q2oeamZFqgXJ8Xakyf8/t/x2v3ZEVfh2F1NK&#10;DGvwke5FwCfbggYSb5Gj1voZQh/s2g2Sx2MsuJOuiX8shXSJ18PIq+gC4Xg5Pc8vJvkZJRx1n4vp&#10;WZ6Iz56trfPhq4CGxENJHb5bopPtb3zAiAg9QmIwD1pV10rrJMReESvtyJ7hKzPOhQlFzBqtfkNq&#10;E/EGomWvjjdZLK4vJ53CQYuI0+ZeSKQGC5ikZFJTvg2UcqhZJfr4WNxY3miRckkOI1pi/NF38Sff&#10;fZYDPpqK1NOjcf5349EiRQYTRuNGGXDvOdAjfbLHH0nqqYkshW7TYXLxuIHqgD3koB8ub/m1wle8&#10;YT6smcNpwrnDDRHu8CM1tCWF4URJDe7ne/cRj02OWkpanM6S+h875gQl+pvB9r8oTk/jOCfh9Gw6&#10;QcG91GxeasyuWQG2RoG7yPJ0jPigj0fpoHnCRbKMUVHFDMfYJeXBHYVV6LcGriIulssEwxG2LNyY&#10;B8uj80hw7NLH7ok5O7RywCG4heMks9mrju6x0dLAchdAqtTuz7wO1OP4px4aVlXcLy/lhHpeqItf&#10;AAAA//8DAFBLAwQUAAYACAAAACEAooLg6+EAAAALAQAADwAAAGRycy9kb3ducmV2LnhtbEyPy07D&#10;MBBF90j8gzVI7KjzUFsa4lRVpW4QQiLQRXduMsSBeBzFbhr4eqarspvH0Z0z+XqynRhx8K0jBfEs&#10;AoFUubqlRsHH++7hEYQPmmrdOUIFP+hhXdze5Dqr3ZnecCxDIziEfKYVmBD6TEpfGbTaz1yPxLtP&#10;N1gduB0aWQ/6zOG2k0kULaTVLfEFo3vcGqy+y5NV8Py1TEszbsbf9BX3xu1fDrutV+r+bto8gQg4&#10;hSsMF31Wh4Kdju5EtRedgjRJF4wqWM5jEBdgnsQrEEeuEh7JIpf/fyj+AAAA//8DAFBLAQItABQA&#10;BgAIAAAAIQC2gziS/gAAAOEBAAATAAAAAAAAAAAAAAAAAAAAAABbQ29udGVudF9UeXBlc10ueG1s&#10;UEsBAi0AFAAGAAgAAAAhADj9If/WAAAAlAEAAAsAAAAAAAAAAAAAAAAALwEAAF9yZWxzLy5yZWxz&#10;UEsBAi0AFAAGAAgAAAAhAMPcpMuTAgAAmAUAAA4AAAAAAAAAAAAAAAAALgIAAGRycy9lMm9Eb2Mu&#10;eG1sUEsBAi0AFAAGAAgAAAAhAKKC4OvhAAAACwEAAA8AAAAAAAAAAAAAAAAA7QQAAGRycy9kb3du&#10;cmV2LnhtbFBLBQYAAAAABAAEAPMAAAD7BQAAAAA=&#10;" o:allowoverlap="f" fillcolor="#5b9bd5 [3204]" stroked="f" strokeweight="1pt">
              <v:textbox>
                <w:txbxContent>
                  <w:p w14:paraId="48AD9FEA" w14:textId="77777777" w:rsidR="005172D0" w:rsidRPr="00894C42" w:rsidRDefault="005172D0">
                    <w:pPr>
                      <w:pStyle w:val="Intestazione"/>
                      <w:jc w:val="center"/>
                      <w:rPr>
                        <w:caps/>
                      </w:rPr>
                    </w:pPr>
                    <w:r w:rsidRPr="00894C42">
                      <w:rPr>
                        <w:caps/>
                      </w:rPr>
                      <w:t>Elenco dei procedimenti de</w:t>
                    </w:r>
                    <w:r>
                      <w:rPr>
                        <w:caps/>
                      </w:rPr>
                      <w:t>lla S.C. IGIENE DEGLI ALIMENTI DI ORIGINE ANIMALE</w:t>
                    </w:r>
                  </w:p>
                </w:txbxContent>
              </v:textbox>
              <w10:wrap type="square" anchorx="margin" anchory="page"/>
            </v:rect>
          </w:pict>
        </mc:Fallback>
      </mc:AlternateContent>
    </w:r>
    <w:r>
      <w:rPr>
        <w:noProof/>
        <w:lang w:eastAsia="it-IT"/>
      </w:rPr>
      <w:drawing>
        <wp:inline distT="0" distB="0" distL="0" distR="0" wp14:anchorId="4055A95E" wp14:editId="314F4242">
          <wp:extent cx="1828800" cy="533302"/>
          <wp:effectExtent l="0" t="0" r="0" b="63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ASL_Ogliastra_V1-1.png"/>
                  <pic:cNvPicPr/>
                </pic:nvPicPr>
                <pic:blipFill>
                  <a:blip r:embed="rId1">
                    <a:extLst>
                      <a:ext uri="{28A0092B-C50C-407E-A947-70E740481C1C}">
                        <a14:useLocalDpi xmlns:a14="http://schemas.microsoft.com/office/drawing/2010/main" val="0"/>
                      </a:ext>
                    </a:extLst>
                  </a:blip>
                  <a:stretch>
                    <a:fillRect/>
                  </a:stretch>
                </pic:blipFill>
                <pic:spPr>
                  <a:xfrm>
                    <a:off x="0" y="0"/>
                    <a:ext cx="1909625" cy="5568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90EF1"/>
    <w:multiLevelType w:val="hybridMultilevel"/>
    <w:tmpl w:val="00D68D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B7D23C3"/>
    <w:multiLevelType w:val="hybridMultilevel"/>
    <w:tmpl w:val="8EEA0A0C"/>
    <w:lvl w:ilvl="0" w:tplc="75CC8EC4">
      <w:numFmt w:val="bullet"/>
      <w:lvlText w:val="-"/>
      <w:lvlJc w:val="left"/>
      <w:pPr>
        <w:ind w:left="720" w:hanging="360"/>
      </w:pPr>
      <w:rPr>
        <w:rFonts w:ascii="Arial" w:eastAsia="Times New Roman" w:hAnsi="Arial" w:cs="Arial" w:hint="default"/>
        <w:color w:val="333333"/>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AD364DC"/>
    <w:multiLevelType w:val="multilevel"/>
    <w:tmpl w:val="4ABEC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7B8"/>
    <w:rsid w:val="00087194"/>
    <w:rsid w:val="000C4E8B"/>
    <w:rsid w:val="00114C57"/>
    <w:rsid w:val="00166052"/>
    <w:rsid w:val="001C4C87"/>
    <w:rsid w:val="00237D7A"/>
    <w:rsid w:val="00245380"/>
    <w:rsid w:val="002F656B"/>
    <w:rsid w:val="003567B8"/>
    <w:rsid w:val="00437321"/>
    <w:rsid w:val="0045156E"/>
    <w:rsid w:val="0045174A"/>
    <w:rsid w:val="004664B0"/>
    <w:rsid w:val="004943D1"/>
    <w:rsid w:val="004A104F"/>
    <w:rsid w:val="0050416E"/>
    <w:rsid w:val="005172D0"/>
    <w:rsid w:val="00534113"/>
    <w:rsid w:val="00551AA3"/>
    <w:rsid w:val="0058390E"/>
    <w:rsid w:val="0068209C"/>
    <w:rsid w:val="006B6188"/>
    <w:rsid w:val="007706B3"/>
    <w:rsid w:val="00780A45"/>
    <w:rsid w:val="007A03F5"/>
    <w:rsid w:val="007C3DE2"/>
    <w:rsid w:val="0081157C"/>
    <w:rsid w:val="0081412B"/>
    <w:rsid w:val="008218AD"/>
    <w:rsid w:val="00833A88"/>
    <w:rsid w:val="008765E6"/>
    <w:rsid w:val="00894C42"/>
    <w:rsid w:val="00895407"/>
    <w:rsid w:val="008E7F79"/>
    <w:rsid w:val="009052F7"/>
    <w:rsid w:val="00936FA6"/>
    <w:rsid w:val="009459BA"/>
    <w:rsid w:val="00985155"/>
    <w:rsid w:val="009A3924"/>
    <w:rsid w:val="00A1754C"/>
    <w:rsid w:val="00A52D6E"/>
    <w:rsid w:val="00A65A11"/>
    <w:rsid w:val="00A65D23"/>
    <w:rsid w:val="00A90E4D"/>
    <w:rsid w:val="00B02E9D"/>
    <w:rsid w:val="00B12FD0"/>
    <w:rsid w:val="00BD473C"/>
    <w:rsid w:val="00C27B06"/>
    <w:rsid w:val="00C37E11"/>
    <w:rsid w:val="00C92A32"/>
    <w:rsid w:val="00D425A2"/>
    <w:rsid w:val="00D877AD"/>
    <w:rsid w:val="00E5409C"/>
    <w:rsid w:val="00E70199"/>
    <w:rsid w:val="00E90F42"/>
    <w:rsid w:val="00EE4F84"/>
    <w:rsid w:val="00F01B5A"/>
    <w:rsid w:val="00F16047"/>
    <w:rsid w:val="00FC4467"/>
    <w:rsid w:val="00FD66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018B2"/>
  <w15:chartTrackingRefBased/>
  <w15:docId w15:val="{791D08AD-3098-42F0-86D1-B21D0058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567B8"/>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567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67B8"/>
  </w:style>
  <w:style w:type="paragraph" w:styleId="Pidipagina">
    <w:name w:val="footer"/>
    <w:basedOn w:val="Normale"/>
    <w:link w:val="PidipaginaCarattere"/>
    <w:uiPriority w:val="99"/>
    <w:unhideWhenUsed/>
    <w:rsid w:val="003567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67B8"/>
  </w:style>
  <w:style w:type="paragraph" w:styleId="Paragrafoelenco">
    <w:name w:val="List Paragraph"/>
    <w:basedOn w:val="Normale"/>
    <w:uiPriority w:val="34"/>
    <w:qFormat/>
    <w:rsid w:val="00D425A2"/>
    <w:pPr>
      <w:ind w:left="720"/>
      <w:contextualSpacing/>
    </w:pPr>
  </w:style>
  <w:style w:type="character" w:styleId="Collegamentoipertestuale">
    <w:name w:val="Hyperlink"/>
    <w:basedOn w:val="Carpredefinitoparagrafo"/>
    <w:uiPriority w:val="99"/>
    <w:unhideWhenUsed/>
    <w:rsid w:val="00551AA3"/>
    <w:rPr>
      <w:rFonts w:ascii="Arial" w:hAnsi="Arial" w:cs="Arial" w:hint="default"/>
      <w:strike w:val="0"/>
      <w:dstrike w:val="0"/>
      <w:color w:val="05447E"/>
      <w:sz w:val="21"/>
      <w:szCs w:val="21"/>
      <w:u w:val="none"/>
      <w:effect w:val="none"/>
    </w:rPr>
  </w:style>
  <w:style w:type="paragraph" w:styleId="NormaleWeb">
    <w:name w:val="Normal (Web)"/>
    <w:basedOn w:val="Normale"/>
    <w:uiPriority w:val="99"/>
    <w:semiHidden/>
    <w:unhideWhenUsed/>
    <w:rsid w:val="0016605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994630">
      <w:bodyDiv w:val="1"/>
      <w:marLeft w:val="0"/>
      <w:marRight w:val="0"/>
      <w:marTop w:val="0"/>
      <w:marBottom w:val="0"/>
      <w:divBdr>
        <w:top w:val="none" w:sz="0" w:space="0" w:color="auto"/>
        <w:left w:val="none" w:sz="0" w:space="0" w:color="auto"/>
        <w:bottom w:val="none" w:sz="0" w:space="0" w:color="auto"/>
        <w:right w:val="none" w:sz="0" w:space="0" w:color="auto"/>
      </w:divBdr>
    </w:div>
    <w:div w:id="672417830">
      <w:bodyDiv w:val="1"/>
      <w:marLeft w:val="0"/>
      <w:marRight w:val="0"/>
      <w:marTop w:val="0"/>
      <w:marBottom w:val="0"/>
      <w:divBdr>
        <w:top w:val="none" w:sz="0" w:space="0" w:color="auto"/>
        <w:left w:val="none" w:sz="0" w:space="0" w:color="auto"/>
        <w:bottom w:val="none" w:sz="0" w:space="0" w:color="auto"/>
        <w:right w:val="none" w:sz="0" w:space="0" w:color="auto"/>
      </w:divBdr>
    </w:div>
    <w:div w:id="70957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nticorruzione.it/portal/public/classic/Comunicazione/News/_news?id=4a54031c0a778042569a4de35fcf8a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610</Words>
  <Characters>3478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Virgilio Congiu</dc:creator>
  <cp:keywords/>
  <dc:description/>
  <cp:lastModifiedBy>Raffaele Piroddi</cp:lastModifiedBy>
  <cp:revision>8</cp:revision>
  <dcterms:created xsi:type="dcterms:W3CDTF">2024-05-21T10:44:00Z</dcterms:created>
  <dcterms:modified xsi:type="dcterms:W3CDTF">2024-05-23T07:13:00Z</dcterms:modified>
</cp:coreProperties>
</file>