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E5" w:rsidRPr="002E5DE5" w:rsidRDefault="002E5DE5" w:rsidP="002E5DE5">
      <w:pPr>
        <w:shd w:val="clear" w:color="auto" w:fill="FFFFFF"/>
        <w:spacing w:before="375" w:after="6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it-IT"/>
        </w:rPr>
      </w:pPr>
      <w:r w:rsidRPr="002E5DE5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it-IT"/>
        </w:rPr>
        <w:t>Piano degli indicatori e risultati attesi di bilancio</w:t>
      </w:r>
    </w:p>
    <w:p w:rsidR="002E5DE5" w:rsidRPr="002E5DE5" w:rsidRDefault="002E5DE5" w:rsidP="002E5DE5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it-IT"/>
        </w:rPr>
      </w:pPr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>Il piano degli indicatori e dei risultati attesi di bilancio è un documento finalizzato ad illustrare gli obiettivi della gestione, misurarne i risultati e monitorarne l’effettivo andamento in termini di servizi forniti e di interventi realizzati.</w:t>
      </w:r>
    </w:p>
    <w:p w:rsidR="002E5DE5" w:rsidRPr="002E5DE5" w:rsidRDefault="002E5DE5" w:rsidP="002E5DE5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it-IT"/>
        </w:rPr>
      </w:pPr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>Riferimenti normativi:</w:t>
      </w:r>
    </w:p>
    <w:p w:rsidR="002E5DE5" w:rsidRPr="002E5DE5" w:rsidRDefault="002E5DE5" w:rsidP="002E5D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46"/>
        <w:jc w:val="both"/>
        <w:rPr>
          <w:rFonts w:ascii="Tahoma" w:eastAsia="Times New Roman" w:hAnsi="Tahoma" w:cs="Tahoma"/>
          <w:color w:val="0070C0"/>
          <w:sz w:val="27"/>
          <w:szCs w:val="27"/>
          <w:lang w:eastAsia="it-IT"/>
        </w:rPr>
      </w:pPr>
      <w:hyperlink r:id="rId5" w:history="1">
        <w:r w:rsidRPr="002E5DE5">
          <w:rPr>
            <w:rFonts w:ascii="Tahoma" w:eastAsia="Times New Roman" w:hAnsi="Tahoma" w:cs="Tahoma"/>
            <w:b/>
            <w:bCs/>
            <w:i/>
            <w:iCs/>
            <w:color w:val="0070C0"/>
            <w:sz w:val="27"/>
            <w:szCs w:val="27"/>
            <w:u w:val="single"/>
            <w:lang w:eastAsia="it-IT"/>
          </w:rPr>
          <w:t>Art. 29, c. 2, d.lgs. n. 33/2013</w:t>
        </w:r>
      </w:hyperlink>
    </w:p>
    <w:p w:rsidR="002E5DE5" w:rsidRPr="002E5DE5" w:rsidRDefault="002E5DE5" w:rsidP="002E5D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46"/>
        <w:jc w:val="both"/>
        <w:rPr>
          <w:rFonts w:ascii="Tahoma" w:eastAsia="Times New Roman" w:hAnsi="Tahoma" w:cs="Tahoma"/>
          <w:color w:val="0070C0"/>
          <w:sz w:val="27"/>
          <w:szCs w:val="27"/>
          <w:lang w:eastAsia="it-IT"/>
        </w:rPr>
      </w:pPr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lang w:eastAsia="it-IT"/>
        </w:rPr>
        <w:t>Artt.</w:t>
      </w:r>
      <w:r w:rsidRPr="002E5DE5">
        <w:rPr>
          <w:rFonts w:ascii="Tahoma" w:eastAsia="Times New Roman" w:hAnsi="Tahoma" w:cs="Tahoma"/>
          <w:i/>
          <w:iCs/>
          <w:color w:val="0070C0"/>
          <w:sz w:val="27"/>
          <w:szCs w:val="27"/>
          <w:lang w:eastAsia="it-IT"/>
        </w:rPr>
        <w:t> </w:t>
      </w:r>
      <w:hyperlink r:id="rId6" w:history="1">
        <w:r w:rsidRPr="002E5DE5">
          <w:rPr>
            <w:rFonts w:ascii="Tahoma" w:eastAsia="Times New Roman" w:hAnsi="Tahoma" w:cs="Tahoma"/>
            <w:b/>
            <w:bCs/>
            <w:i/>
            <w:iCs/>
            <w:color w:val="0070C0"/>
            <w:sz w:val="27"/>
            <w:szCs w:val="27"/>
            <w:lang w:eastAsia="it-IT"/>
          </w:rPr>
          <w:t>1</w:t>
        </w:r>
      </w:hyperlink>
      <w:r w:rsidRPr="002E5DE5">
        <w:rPr>
          <w:rFonts w:ascii="Tahoma" w:eastAsia="Times New Roman" w:hAnsi="Tahoma" w:cs="Tahoma"/>
          <w:i/>
          <w:iCs/>
          <w:color w:val="0070C0"/>
          <w:sz w:val="27"/>
          <w:szCs w:val="27"/>
          <w:lang w:eastAsia="it-IT"/>
        </w:rPr>
        <w:t>, </w:t>
      </w:r>
      <w:hyperlink r:id="rId7" w:history="1">
        <w:r w:rsidRPr="002E5DE5">
          <w:rPr>
            <w:rFonts w:ascii="Tahoma" w:eastAsia="Times New Roman" w:hAnsi="Tahoma" w:cs="Tahoma"/>
            <w:i/>
            <w:iCs/>
            <w:color w:val="0070C0"/>
            <w:sz w:val="27"/>
            <w:szCs w:val="27"/>
            <w:u w:val="single"/>
            <w:lang w:eastAsia="it-IT"/>
          </w:rPr>
          <w:t> </w:t>
        </w:r>
        <w:r w:rsidRPr="002E5DE5">
          <w:rPr>
            <w:rFonts w:ascii="Tahoma" w:eastAsia="Times New Roman" w:hAnsi="Tahoma" w:cs="Tahoma"/>
            <w:b/>
            <w:bCs/>
            <w:i/>
            <w:iCs/>
            <w:color w:val="0070C0"/>
            <w:sz w:val="27"/>
            <w:szCs w:val="27"/>
            <w:lang w:eastAsia="it-IT"/>
          </w:rPr>
          <w:t>19</w:t>
        </w:r>
      </w:hyperlink>
      <w:r w:rsidRPr="002E5DE5">
        <w:rPr>
          <w:rFonts w:ascii="Tahoma" w:eastAsia="Times New Roman" w:hAnsi="Tahoma" w:cs="Tahoma"/>
          <w:i/>
          <w:iCs/>
          <w:color w:val="0070C0"/>
          <w:sz w:val="27"/>
          <w:szCs w:val="27"/>
          <w:lang w:eastAsia="it-IT"/>
        </w:rPr>
        <w:t> e </w:t>
      </w:r>
      <w:hyperlink r:id="rId8" w:history="1">
        <w:r w:rsidRPr="002E5DE5">
          <w:rPr>
            <w:rFonts w:ascii="Tahoma" w:eastAsia="Times New Roman" w:hAnsi="Tahoma" w:cs="Tahoma"/>
            <w:b/>
            <w:bCs/>
            <w:i/>
            <w:iCs/>
            <w:color w:val="0070C0"/>
            <w:sz w:val="27"/>
            <w:szCs w:val="27"/>
            <w:lang w:eastAsia="it-IT"/>
          </w:rPr>
          <w:t>22</w:t>
        </w:r>
      </w:hyperlink>
      <w:r w:rsidRPr="002E5DE5">
        <w:rPr>
          <w:rFonts w:ascii="Tahoma" w:eastAsia="Times New Roman" w:hAnsi="Tahoma" w:cs="Tahoma"/>
          <w:i/>
          <w:iCs/>
          <w:color w:val="0070C0"/>
          <w:sz w:val="27"/>
          <w:szCs w:val="27"/>
          <w:lang w:eastAsia="it-IT"/>
        </w:rPr>
        <w:t> </w:t>
      </w:r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lang w:eastAsia="it-IT"/>
        </w:rPr>
        <w:t>del d.lgs. n. 91/2011</w:t>
      </w:r>
    </w:p>
    <w:p w:rsidR="002E5DE5" w:rsidRPr="002E5DE5" w:rsidRDefault="002E5DE5" w:rsidP="002E5D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46"/>
        <w:jc w:val="both"/>
        <w:rPr>
          <w:rFonts w:ascii="Tahoma" w:eastAsia="Times New Roman" w:hAnsi="Tahoma" w:cs="Tahoma"/>
          <w:color w:val="000000"/>
          <w:sz w:val="27"/>
          <w:szCs w:val="27"/>
          <w:lang w:eastAsia="it-IT"/>
        </w:rPr>
      </w:pPr>
      <w:hyperlink r:id="rId9" w:history="1">
        <w:r w:rsidRPr="002E5DE5">
          <w:rPr>
            <w:rFonts w:ascii="Tahoma" w:eastAsia="Times New Roman" w:hAnsi="Tahoma" w:cs="Tahoma"/>
            <w:b/>
            <w:bCs/>
            <w:i/>
            <w:iCs/>
            <w:color w:val="0070C0"/>
            <w:sz w:val="27"/>
            <w:szCs w:val="27"/>
            <w:u w:val="single"/>
            <w:lang w:eastAsia="it-IT"/>
          </w:rPr>
          <w:t>Art. 18-bis del d.lgs. n.118/2011</w:t>
        </w:r>
      </w:hyperlink>
    </w:p>
    <w:p w:rsidR="002E5DE5" w:rsidRPr="002E5DE5" w:rsidRDefault="002E5DE5" w:rsidP="002E5DE5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it-IT"/>
        </w:rPr>
      </w:pPr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 xml:space="preserve">L’articolo 29, comma 2, del </w:t>
      </w:r>
      <w:proofErr w:type="spellStart"/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>D.lgs</w:t>
      </w:r>
      <w:proofErr w:type="spellEnd"/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 xml:space="preserve"> n. 33 del 2013 stabilisce che le pubbliche amministrazioni pubblichino il Piano degli indicatori e dei risultati attesi di bilancio previsto dall’art. 19 del </w:t>
      </w:r>
      <w:proofErr w:type="spellStart"/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>D.lgs</w:t>
      </w:r>
      <w:proofErr w:type="spellEnd"/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 xml:space="preserve"> 31/05/2011, n. 91, al fine di consentire la conoscibilità della destinazione e dello scopo delle spese e con le integrazioni che indicano il raggiungimento dei risultati attesi e le motivazioni degli eventuali scostamenti.</w:t>
      </w:r>
    </w:p>
    <w:p w:rsidR="002E5DE5" w:rsidRPr="002E5DE5" w:rsidRDefault="002E5DE5" w:rsidP="002E5DE5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it-IT"/>
        </w:rPr>
      </w:pPr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 xml:space="preserve">In attuazione di quanto previsto dall’art.23 del </w:t>
      </w:r>
      <w:proofErr w:type="spellStart"/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>D.lgs</w:t>
      </w:r>
      <w:proofErr w:type="spellEnd"/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 xml:space="preserve"> n. 91/2011, che prevede la definizione delle linee guida generali per l’individuazione di criteri e metodologie per la costruzione di un sistema di indicatori ai fini della misurazione dei risultati attesi dai programmi di bilancio, è stato emanato il DPCM 18 settembre 2012 che, </w:t>
      </w:r>
      <w:r w:rsidRPr="002E5DE5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it-IT"/>
        </w:rPr>
        <w:t>all’art.1, nel definire l’ambito di applicazione delle norme introdotte, precisa che il decreto “si applica alle amministrazioni pubbliche di cui all’art.1 comma 2 della legge 31 dicembre 2009 n. 196, e successive integrazioni e modificazioni, ad esclusione delle regioni, degli enti locali, dei loro enti ed organismi strumentali e degli Enti del Servizio Sanitario Nazionale, disciplinati dal Decreto legislativo 23 giugno 2011, n.118”</w:t>
      </w:r>
    </w:p>
    <w:p w:rsidR="002E5DE5" w:rsidRPr="002E5DE5" w:rsidRDefault="002E5DE5" w:rsidP="002E5DE5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it-IT"/>
        </w:rPr>
      </w:pPr>
      <w:r w:rsidRPr="002E5D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it-IT"/>
        </w:rPr>
        <w:t>Il Piano degli indicatori e risultati attesi di bilancio</w:t>
      </w:r>
      <w:r w:rsidRPr="002E5DE5">
        <w:rPr>
          <w:rFonts w:ascii="Tahoma" w:eastAsia="Times New Roman" w:hAnsi="Tahoma" w:cs="Tahoma"/>
          <w:color w:val="000000"/>
          <w:sz w:val="27"/>
          <w:szCs w:val="27"/>
          <w:lang w:eastAsia="it-IT"/>
        </w:rPr>
        <w:t> </w:t>
      </w:r>
      <w:r w:rsidRPr="002E5D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it-IT"/>
        </w:rPr>
        <w:t xml:space="preserve">di cui all’art. 18/bis del </w:t>
      </w:r>
      <w:proofErr w:type="spellStart"/>
      <w:r w:rsidRPr="002E5D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it-IT"/>
        </w:rPr>
        <w:t>DLgs</w:t>
      </w:r>
      <w:proofErr w:type="spellEnd"/>
      <w:r w:rsidRPr="002E5D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it-IT"/>
        </w:rPr>
        <w:t xml:space="preserve"> 118/2011 non è applicabile al settore sanitario </w:t>
      </w:r>
      <w:bookmarkStart w:id="0" w:name="_GoBack"/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lang w:eastAsia="it-IT"/>
        </w:rPr>
        <w:fldChar w:fldCharType="begin"/>
      </w:r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lang w:eastAsia="it-IT"/>
        </w:rPr>
        <w:instrText xml:space="preserve"> HYPERLINK "https://www.normattiva.it/uri-res/N2Ls?urn:nir:stato:decreto.legislativo:2011;091" </w:instrText>
      </w:r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lang w:eastAsia="it-IT"/>
        </w:rPr>
        <w:fldChar w:fldCharType="separate"/>
      </w:r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u w:val="single"/>
          <w:lang w:eastAsia="it-IT"/>
        </w:rPr>
        <w:t xml:space="preserve">ai sensi dell’articolo 1 del </w:t>
      </w:r>
      <w:proofErr w:type="spellStart"/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u w:val="single"/>
          <w:lang w:eastAsia="it-IT"/>
        </w:rPr>
        <w:t>D.Lgs.</w:t>
      </w:r>
      <w:proofErr w:type="spellEnd"/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u w:val="single"/>
          <w:lang w:eastAsia="it-IT"/>
        </w:rPr>
        <w:t xml:space="preserve"> 31 maggio 2011, n. 91</w:t>
      </w:r>
      <w:r w:rsidRPr="002E5DE5">
        <w:rPr>
          <w:rFonts w:ascii="Tahoma" w:eastAsia="Times New Roman" w:hAnsi="Tahoma" w:cs="Tahoma"/>
          <w:b/>
          <w:bCs/>
          <w:i/>
          <w:iCs/>
          <w:color w:val="0070C0"/>
          <w:sz w:val="27"/>
          <w:szCs w:val="27"/>
          <w:lang w:eastAsia="it-IT"/>
        </w:rPr>
        <w:fldChar w:fldCharType="end"/>
      </w:r>
      <w:bookmarkEnd w:id="0"/>
      <w:r w:rsidRPr="002E5D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it-IT"/>
        </w:rPr>
        <w:t>, pertanto i dati previsti al comma 2 dell’art.18/bis non afferiscono alla presente sezione per le Aziende ed Enti del Servizio Sanitario Nazionale (SSN). </w:t>
      </w:r>
    </w:p>
    <w:p w:rsidR="00561C2F" w:rsidRDefault="00561C2F"/>
    <w:sectPr w:rsidR="00561C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65EF3"/>
    <w:multiLevelType w:val="multilevel"/>
    <w:tmpl w:val="DA12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E5"/>
    <w:rsid w:val="002E5DE5"/>
    <w:rsid w:val="0056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877F2-D992-467B-B640-3BC353FB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2E5D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2E5DE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E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E5DE5"/>
    <w:rPr>
      <w:i/>
      <w:iCs/>
    </w:rPr>
  </w:style>
  <w:style w:type="character" w:styleId="Enfasigrassetto">
    <w:name w:val="Strong"/>
    <w:basedOn w:val="Carpredefinitoparagrafo"/>
    <w:uiPriority w:val="22"/>
    <w:qFormat/>
    <w:rsid w:val="002E5DE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E5D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3626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2995">
              <w:marLeft w:val="1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86386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1691">
              <w:marLeft w:val="1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decreto.legislativo:2011-05-31;91!vig=~art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rmattiva.it/uri-res/N2Ls?urn:nir:stato:decreto.legislativo:2011-05-31;91!vig=~art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rmattiva.it/uri-res/N2Ls?urn:nir:stato:decreto.legislativo:2011;09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ormattiva.it/uri-res/N2Ls?urn:nir:stato:decreto.legislativo:2013-03-14;33!vig=~art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ormattiva.it/uri-res/N2Ls?urn:nir:stato:decreto.legislativo:2011;118~art18bi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Allegrini</dc:creator>
  <cp:keywords/>
  <dc:description/>
  <cp:lastModifiedBy>Monica Allegrini</cp:lastModifiedBy>
  <cp:revision>1</cp:revision>
  <dcterms:created xsi:type="dcterms:W3CDTF">2026-06-25T06:54:00Z</dcterms:created>
  <dcterms:modified xsi:type="dcterms:W3CDTF">2026-06-25T06:57:00Z</dcterms:modified>
</cp:coreProperties>
</file>